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590" w:rsidRDefault="00953590" w:rsidP="00953590">
      <w:pPr>
        <w:pStyle w:val="ConsPlusNonformat"/>
        <w:widowControl/>
        <w:jc w:val="right"/>
        <w:rPr>
          <w:rFonts w:ascii="Times New Roman" w:hAnsi="Times New Roman"/>
          <w:sz w:val="26"/>
          <w:szCs w:val="26"/>
        </w:rPr>
      </w:pPr>
      <w:r>
        <w:rPr>
          <w:rFonts w:ascii="Times New Roman" w:hAnsi="Times New Roman"/>
          <w:sz w:val="26"/>
          <w:szCs w:val="26"/>
        </w:rPr>
        <w:t xml:space="preserve">Приложение </w:t>
      </w:r>
    </w:p>
    <w:p w:rsidR="00953590" w:rsidRDefault="00953590" w:rsidP="00953590">
      <w:pPr>
        <w:pStyle w:val="ConsPlusNonformat"/>
        <w:widowControl/>
        <w:jc w:val="right"/>
        <w:rPr>
          <w:rFonts w:ascii="Times New Roman" w:hAnsi="Times New Roman"/>
          <w:sz w:val="26"/>
          <w:szCs w:val="26"/>
        </w:rPr>
      </w:pPr>
      <w:r>
        <w:rPr>
          <w:rFonts w:ascii="Times New Roman" w:hAnsi="Times New Roman"/>
          <w:sz w:val="26"/>
          <w:szCs w:val="26"/>
        </w:rPr>
        <w:t xml:space="preserve">       к Решению Дубровского районного </w:t>
      </w:r>
    </w:p>
    <w:p w:rsidR="00953590" w:rsidRDefault="00953590" w:rsidP="00953590">
      <w:pPr>
        <w:pStyle w:val="ConsPlusNonformat"/>
        <w:widowControl/>
        <w:jc w:val="right"/>
        <w:rPr>
          <w:rFonts w:ascii="Times New Roman" w:hAnsi="Times New Roman"/>
          <w:sz w:val="26"/>
          <w:szCs w:val="26"/>
        </w:rPr>
      </w:pPr>
      <w:r>
        <w:rPr>
          <w:rFonts w:ascii="Times New Roman" w:hAnsi="Times New Roman"/>
          <w:sz w:val="26"/>
          <w:szCs w:val="26"/>
        </w:rPr>
        <w:t xml:space="preserve">Совета народных депутатов </w:t>
      </w:r>
    </w:p>
    <w:p w:rsidR="00953590" w:rsidRDefault="00953590" w:rsidP="00953590">
      <w:pPr>
        <w:pStyle w:val="ConsPlusNonformat"/>
        <w:widowControl/>
        <w:jc w:val="right"/>
        <w:rPr>
          <w:rFonts w:ascii="Times New Roman" w:hAnsi="Times New Roman"/>
          <w:sz w:val="26"/>
          <w:szCs w:val="26"/>
        </w:rPr>
      </w:pPr>
      <w:r>
        <w:rPr>
          <w:rFonts w:ascii="Times New Roman" w:hAnsi="Times New Roman"/>
          <w:sz w:val="26"/>
          <w:szCs w:val="26"/>
        </w:rPr>
        <w:t xml:space="preserve">от  30.06.2020 г. № 91-7 </w:t>
      </w:r>
    </w:p>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9A1FF6" w:rsidRDefault="00E47966" w:rsidP="009A1FF6">
      <w:pPr>
        <w:spacing w:line="240" w:lineRule="auto"/>
        <w:ind w:right="-425"/>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3C1FD6">
        <w:rPr>
          <w:rFonts w:ascii="Times New Roman" w:hAnsi="Times New Roman" w:cs="Times New Roman"/>
          <w:b/>
          <w:sz w:val="40"/>
          <w:szCs w:val="40"/>
        </w:rPr>
        <w:t>Сергеевского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w:t>
      </w:r>
      <w:r w:rsidR="009A1FF6">
        <w:rPr>
          <w:rFonts w:ascii="Times New Roman" w:hAnsi="Times New Roman" w:cs="Times New Roman"/>
          <w:b/>
          <w:sz w:val="40"/>
          <w:szCs w:val="40"/>
        </w:rPr>
        <w:t xml:space="preserve">муниципального </w:t>
      </w:r>
      <w:r w:rsidR="00423CE7">
        <w:rPr>
          <w:rFonts w:ascii="Times New Roman" w:hAnsi="Times New Roman" w:cs="Times New Roman"/>
          <w:b/>
          <w:sz w:val="40"/>
          <w:szCs w:val="40"/>
        </w:rPr>
        <w:t>района</w:t>
      </w:r>
      <w:r w:rsidR="009B17A9">
        <w:rPr>
          <w:rFonts w:ascii="Times New Roman" w:hAnsi="Times New Roman" w:cs="Times New Roman"/>
          <w:b/>
          <w:sz w:val="40"/>
          <w:szCs w:val="40"/>
        </w:rPr>
        <w:t xml:space="preserve"> </w:t>
      </w:r>
    </w:p>
    <w:p w:rsidR="00B05F91" w:rsidRPr="00651A83" w:rsidRDefault="00423CE7" w:rsidP="009A1FF6">
      <w:pPr>
        <w:spacing w:line="240" w:lineRule="auto"/>
        <w:ind w:right="-425"/>
        <w:contextualSpacing/>
        <w:jc w:val="center"/>
        <w:rPr>
          <w:b/>
          <w:sz w:val="40"/>
          <w:szCs w:val="40"/>
        </w:rPr>
      </w:pPr>
      <w:r>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9A1FF6" w:rsidRDefault="009A1FF6" w:rsidP="009A1FF6">
      <w:pPr>
        <w:spacing w:line="240" w:lineRule="auto"/>
        <w:ind w:right="-425"/>
        <w:contextualSpacing/>
        <w:jc w:val="center"/>
        <w:rPr>
          <w:rFonts w:ascii="Times New Roman" w:hAnsi="Times New Roman" w:cs="Times New Roman"/>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Pr>
          <w:rFonts w:ascii="Times New Roman" w:hAnsi="Times New Roman" w:cs="Times New Roman"/>
          <w:b/>
          <w:sz w:val="40"/>
          <w:szCs w:val="40"/>
        </w:rPr>
        <w:t>Сергеевского</w:t>
      </w:r>
      <w:proofErr w:type="spellEnd"/>
      <w:r w:rsidRPr="00B05F91">
        <w:rPr>
          <w:rFonts w:ascii="Times New Roman" w:hAnsi="Times New Roman" w:cs="Times New Roman"/>
          <w:b/>
          <w:sz w:val="40"/>
          <w:szCs w:val="40"/>
        </w:rPr>
        <w:t xml:space="preserve"> сельского поселения                               </w:t>
      </w:r>
      <w:r>
        <w:rPr>
          <w:rFonts w:ascii="Times New Roman" w:hAnsi="Times New Roman" w:cs="Times New Roman"/>
          <w:b/>
          <w:sz w:val="40"/>
          <w:szCs w:val="40"/>
        </w:rPr>
        <w:t xml:space="preserve">Дубровского муниципального района </w:t>
      </w:r>
    </w:p>
    <w:p w:rsidR="009A1FF6" w:rsidRPr="00651A83" w:rsidRDefault="009A1FF6" w:rsidP="009A1FF6">
      <w:pPr>
        <w:spacing w:line="240" w:lineRule="auto"/>
        <w:ind w:right="-425"/>
        <w:contextualSpacing/>
        <w:jc w:val="center"/>
        <w:rPr>
          <w:b/>
          <w:sz w:val="40"/>
          <w:szCs w:val="40"/>
        </w:rPr>
      </w:pPr>
      <w:r>
        <w:rPr>
          <w:rFonts w:ascii="Times New Roman" w:hAnsi="Times New Roman" w:cs="Times New Roman"/>
          <w:b/>
          <w:sz w:val="40"/>
          <w:szCs w:val="40"/>
        </w:rPr>
        <w:t>Брянской</w:t>
      </w:r>
      <w:r w:rsidRPr="00B05F91">
        <w:rPr>
          <w:rFonts w:ascii="Times New Roman" w:hAnsi="Times New Roman" w:cs="Times New Roman"/>
          <w:b/>
          <w:sz w:val="40"/>
          <w:szCs w:val="40"/>
        </w:rPr>
        <w:t xml:space="preserve"> области</w:t>
      </w:r>
    </w:p>
    <w:p w:rsidR="00B05F91" w:rsidRPr="00651A83" w:rsidRDefault="00B05F91" w:rsidP="00B05F91">
      <w:pPr>
        <w:ind w:right="140"/>
        <w:jc w:val="center"/>
        <w:rPr>
          <w:b/>
          <w:sz w:val="40"/>
          <w:szCs w:val="40"/>
        </w:rPr>
      </w:pP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r w:rsidRPr="00B05F91">
              <w:rPr>
                <w:rFonts w:ascii="Times New Roman" w:eastAsia="Times New Roman" w:hAnsi="Times New Roman" w:cs="Times New Roman"/>
                <w:sz w:val="24"/>
                <w:szCs w:val="24"/>
                <w:lang w:eastAsia="ru-RU"/>
              </w:rPr>
              <w:t>п</w:t>
            </w:r>
            <w:proofErr w:type="spell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43516F"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BE0E94">
              <w:rPr>
                <w:noProof/>
                <w:webHidden/>
              </w:rPr>
              <w:t>9</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BE0E94">
              <w:rPr>
                <w:noProof/>
                <w:webHidden/>
              </w:rPr>
              <w:t>17</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BE0E94">
              <w:rPr>
                <w:noProof/>
                <w:webHidden/>
              </w:rPr>
              <w:t>22</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BE0E94">
              <w:rPr>
                <w:noProof/>
                <w:webHidden/>
              </w:rPr>
              <w:t>26</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BE0E94">
              <w:rPr>
                <w:noProof/>
                <w:webHidden/>
              </w:rPr>
              <w:t>30</w:t>
            </w:r>
            <w:r w:rsidRPr="00636696">
              <w:rPr>
                <w:noProof/>
                <w:webHidden/>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BE0E94">
              <w:rPr>
                <w:noProof/>
                <w:webHidden/>
              </w:rPr>
              <w:t>68</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BE0E94">
              <w:rPr>
                <w:noProof/>
                <w:webHidden/>
              </w:rPr>
              <w:t>69</w:t>
            </w:r>
            <w:r w:rsidRPr="00636696">
              <w:rPr>
                <w:noProof/>
                <w:webHidden/>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BE0E94">
              <w:rPr>
                <w:noProof/>
                <w:webHidden/>
              </w:rPr>
              <w:t>79</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BE0E94">
              <w:rPr>
                <w:noProof/>
                <w:webHidden/>
              </w:rPr>
              <w:t>81</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BE0E94">
              <w:rPr>
                <w:noProof/>
                <w:webHidden/>
              </w:rPr>
              <w:t>82</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BE0E94">
              <w:rPr>
                <w:noProof/>
                <w:webHidden/>
              </w:rPr>
              <w:t>95</w:t>
            </w:r>
            <w:r w:rsidRPr="00636696">
              <w:rPr>
                <w:noProof/>
                <w:webHidden/>
              </w:rPr>
              <w:fldChar w:fldCharType="end"/>
            </w:r>
          </w:hyperlink>
        </w:p>
        <w:p w:rsidR="00636696" w:rsidRPr="00636696" w:rsidRDefault="0043516F"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BE0E94">
              <w:rPr>
                <w:noProof/>
                <w:webHidden/>
              </w:rPr>
              <w:t>110</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BE0E94">
              <w:rPr>
                <w:noProof/>
                <w:webHidden/>
              </w:rPr>
              <w:t>111</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BE0E94">
              <w:rPr>
                <w:noProof/>
                <w:webHidden/>
              </w:rPr>
              <w:t>112</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BE0E94">
              <w:rPr>
                <w:noProof/>
                <w:webHidden/>
              </w:rPr>
              <w:t>114</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BE0E94">
              <w:rPr>
                <w:noProof/>
                <w:webHidden/>
              </w:rPr>
              <w:t>116</w:t>
            </w:r>
            <w:r w:rsidRPr="00636696">
              <w:rPr>
                <w:noProof/>
                <w:webHidden/>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BE0E94">
              <w:rPr>
                <w:noProof/>
                <w:webHidden/>
              </w:rPr>
              <w:t>119</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BE0E94">
              <w:rPr>
                <w:noProof/>
                <w:webHidden/>
              </w:rPr>
              <w:t>120</w:t>
            </w:r>
            <w:r w:rsidRPr="00636696">
              <w:rPr>
                <w:noProof/>
                <w:webHidden/>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BE0E94">
              <w:rPr>
                <w:noProof/>
                <w:webHidden/>
              </w:rPr>
              <w:t>126</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BE0E94">
              <w:rPr>
                <w:noProof/>
                <w:webHidden/>
              </w:rPr>
              <w:t>127</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BE0E94">
              <w:rPr>
                <w:noProof/>
                <w:webHidden/>
              </w:rPr>
              <w:t>128</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BE0E94">
              <w:rPr>
                <w:noProof/>
                <w:webHidden/>
              </w:rPr>
              <w:t>129</w:t>
            </w:r>
            <w:r w:rsidRPr="00636696">
              <w:rPr>
                <w:noProof/>
                <w:webHidden/>
              </w:rPr>
              <w:fldChar w:fldCharType="end"/>
            </w:r>
          </w:hyperlink>
        </w:p>
        <w:p w:rsidR="00636696" w:rsidRPr="00636696" w:rsidRDefault="0043516F"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BE0E94">
              <w:rPr>
                <w:noProof/>
                <w:webHidden/>
              </w:rPr>
              <w:t>131</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BE0E94">
              <w:rPr>
                <w:noProof/>
                <w:webHidden/>
              </w:rPr>
              <w:t>132</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BE0E94">
              <w:rPr>
                <w:noProof/>
                <w:webHidden/>
              </w:rPr>
              <w:t>133</w:t>
            </w:r>
            <w:r w:rsidRPr="00636696">
              <w:rPr>
                <w:noProof/>
                <w:webHidden/>
              </w:rPr>
              <w:fldChar w:fldCharType="end"/>
            </w:r>
          </w:hyperlink>
        </w:p>
        <w:p w:rsidR="00636696" w:rsidRPr="00636696" w:rsidRDefault="0043516F"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BE0E94">
              <w:rPr>
                <w:noProof/>
                <w:webHidden/>
              </w:rPr>
              <w:t>137</w:t>
            </w:r>
            <w:r w:rsidRPr="00636696">
              <w:rPr>
                <w:noProof/>
                <w:webHidden/>
              </w:rPr>
              <w:fldChar w:fldCharType="end"/>
            </w:r>
          </w:hyperlink>
        </w:p>
        <w:p w:rsidR="00636696" w:rsidRPr="00636696" w:rsidRDefault="0043516F"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BE0E94">
              <w:rPr>
                <w:noProof/>
                <w:webHidden/>
              </w:rPr>
              <w:t>145</w:t>
            </w:r>
            <w:r w:rsidRPr="00636696">
              <w:rPr>
                <w:noProof/>
                <w:webHidden/>
              </w:rPr>
              <w:fldChar w:fldCharType="end"/>
            </w:r>
          </w:hyperlink>
        </w:p>
        <w:p w:rsidR="00636696" w:rsidRPr="00636696" w:rsidRDefault="0043516F"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43516F"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43516F"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BE0E94">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43516F"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9A1FF6">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C31C1E">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w:t>
      </w:r>
      <w:r w:rsidR="00C31C1E">
        <w:rPr>
          <w:rFonts w:ascii="Times New Roman" w:hAnsi="Times New Roman" w:cs="Times New Roman"/>
          <w:sz w:val="28"/>
          <w:szCs w:val="28"/>
        </w:rPr>
        <w:t xml:space="preserve">муниципального </w:t>
      </w:r>
      <w:r w:rsidR="00423CE7">
        <w:rPr>
          <w:rFonts w:ascii="Times New Roman" w:hAnsi="Times New Roman" w:cs="Times New Roman"/>
          <w:sz w:val="28"/>
          <w:szCs w:val="28"/>
        </w:rPr>
        <w:t>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электро</w:t>
      </w:r>
      <w:proofErr w:type="spell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электро</w:t>
      </w:r>
      <w:proofErr w:type="spell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к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л/</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м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полосы движения, м</w:t>
            </w:r>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Наименьший радиус кривых в плане без виража,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Ширина пешеходной части тротуара, м</w:t>
            </w:r>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Расчетная скорость движения, км/ч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полосы движения, м</w:t>
            </w:r>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Наименьший радиус кривых в плане, м</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Ширина пешеходной части тротуара, м</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для проезжей части - минимальный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тротуара - минимальный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для велодорожек - минимальный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части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м:</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3. Ширину земляного полотна, возводимого на ценных сельскохозяйственных угодьях, допускается принимать, м:</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Значение параметров, м,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Ширину проезжей части производственных дорог допускается принимать, м:</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самоходных и прицепных машин, м</w:t>
            </w:r>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движения, м</w:t>
            </w:r>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Ширина земляного полотна, м</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Участки перехода от однополосной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средств следует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r w:rsidRPr="00892E8C">
        <w:rPr>
          <w:sz w:val="28"/>
          <w:szCs w:val="28"/>
          <w:vertAlign w:val="superscript"/>
        </w:rPr>
        <w:t>2</w:t>
      </w:r>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в том числе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могут размещаться ниже и/или выше уровня земли, состоять из подземной и/или надземной частей.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до которых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r w:rsidRPr="00452ABE">
              <w:rPr>
                <w:rStyle w:val="grame"/>
                <w:rFonts w:ascii="Times New Roman" w:hAnsi="Times New Roman" w:cs="Times New Roman"/>
                <w:sz w:val="28"/>
                <w:szCs w:val="28"/>
              </w:rPr>
              <w:t>м</w:t>
            </w:r>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 А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встроенными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(рамповые);</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на: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шумо</w:t>
      </w:r>
      <w:proofErr w:type="spell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районов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r w:rsidRPr="00641622">
        <w:rPr>
          <w:sz w:val="28"/>
          <w:szCs w:val="28"/>
          <w:vertAlign w:val="superscript"/>
          <w:lang w:eastAsia="en-US"/>
        </w:rPr>
        <w:t>2</w:t>
      </w:r>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r w:rsidRPr="00112F90">
          <w:rPr>
            <w:sz w:val="28"/>
            <w:szCs w:val="28"/>
            <w:vertAlign w:val="superscript"/>
            <w:lang w:eastAsia="en-US"/>
          </w:rPr>
          <w:t>2</w:t>
        </w:r>
      </w:smartTag>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 %:</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r w:rsidRPr="007C1A5A">
                <w:rPr>
                  <w:rFonts w:ascii="Times New Roman" w:hAnsi="Times New Roman" w:cs="Times New Roman"/>
                  <w:bCs/>
                  <w:sz w:val="28"/>
                  <w:szCs w:val="28"/>
                  <w:vertAlign w:val="superscript"/>
                </w:rPr>
                <w:t>2</w:t>
              </w:r>
            </w:smartTag>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r w:rsidRPr="007C1A5A">
                <w:rPr>
                  <w:rFonts w:ascii="Times New Roman" w:hAnsi="Times New Roman" w:cs="Times New Roman"/>
                  <w:bCs/>
                  <w:sz w:val="28"/>
                  <w:szCs w:val="28"/>
                  <w:vertAlign w:val="superscript"/>
                </w:rPr>
                <w:t>2</w:t>
              </w:r>
            </w:smartTag>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 Ж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r w:rsidRPr="00BF76E9">
        <w:rPr>
          <w:rFonts w:ascii="Times New Roman" w:hAnsi="Times New Roman" w:cs="Times New Roman"/>
          <w:sz w:val="28"/>
          <w:szCs w:val="28"/>
          <w:vertAlign w:val="superscript"/>
        </w:rPr>
        <w:t>2</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Дальность пешеходных подходов от автостоянок для временного хранения легковых автомобилей следует принимать, м,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на объект, га</w:t>
            </w:r>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 xml:space="preserve">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м:</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для:</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r w:rsidRPr="006B7B68">
              <w:rPr>
                <w:rFonts w:ascii="Times New Roman" w:hAnsi="Times New Roman" w:cs="Times New Roman"/>
                <w:sz w:val="28"/>
                <w:szCs w:val="28"/>
              </w:rPr>
              <w:t>п</w:t>
            </w:r>
            <w:proofErr w:type="spell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r w:rsidRPr="00A337AA">
              <w:rPr>
                <w:rFonts w:ascii="Times New Roman" w:hAnsi="Times New Roman" w:cs="Times New Roman"/>
                <w:sz w:val="28"/>
                <w:szCs w:val="28"/>
                <w:vertAlign w:val="superscript"/>
              </w:rPr>
              <w:t>2</w:t>
            </w:r>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r w:rsidRPr="00B9788A">
              <w:rPr>
                <w:rFonts w:ascii="Times New Roman" w:hAnsi="Times New Roman" w:cs="Times New Roman"/>
                <w:sz w:val="28"/>
                <w:szCs w:val="28"/>
                <w:vertAlign w:val="superscript"/>
              </w:rPr>
              <w:t xml:space="preserve">2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Размеры земельных участков, га</w:t>
            </w:r>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м2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м2.</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м2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Секционный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r w:rsidRPr="00934A91">
              <w:rPr>
                <w:rFonts w:ascii="Times New Roman" w:hAnsi="Times New Roman" w:cs="Times New Roman"/>
                <w:sz w:val="28"/>
                <w:szCs w:val="28"/>
              </w:rPr>
              <w:t>одно-двухквартирного</w:t>
            </w:r>
            <w:proofErr w:type="spell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 xml:space="preserve">В соответствии с Приложением </w:t>
      </w:r>
      <w:r>
        <w:rPr>
          <w:rFonts w:ascii="Times New Roman" w:hAnsi="Times New Roman" w:cs="Times New Roman"/>
          <w:sz w:val="28"/>
          <w:szCs w:val="28"/>
        </w:rPr>
        <w:t>Д</w:t>
      </w:r>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517D45" w:rsidRPr="001949BB" w:rsidRDefault="00517D45" w:rsidP="000F5D7D">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r w:rsidRPr="00240489">
              <w:rPr>
                <w:rFonts w:ascii="Times New Roman" w:hAnsi="Times New Roman" w:cs="Times New Roman"/>
                <w:bCs/>
                <w:sz w:val="28"/>
                <w:szCs w:val="28"/>
              </w:rPr>
              <w:t>п</w:t>
            </w:r>
            <w:proofErr w:type="spell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r w:rsidRPr="00131E16">
              <w:rPr>
                <w:rFonts w:ascii="Times New Roman" w:hAnsi="Times New Roman" w:cs="Times New Roman"/>
                <w:sz w:val="28"/>
                <w:szCs w:val="28"/>
              </w:rPr>
              <w:t>п</w:t>
            </w:r>
            <w:proofErr w:type="spell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r w:rsidRPr="00050DDB">
              <w:rPr>
                <w:rFonts w:ascii="Times New Roman" w:hAnsi="Times New Roman" w:cs="Times New Roman"/>
                <w:sz w:val="28"/>
                <w:szCs w:val="28"/>
              </w:rPr>
              <w:t>п</w:t>
            </w:r>
            <w:proofErr w:type="spell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Пешеходная доступность, м</w:t>
            </w:r>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r w:rsidRPr="0055494D">
              <w:rPr>
                <w:rFonts w:ascii="Times New Roman" w:hAnsi="Times New Roman" w:cs="Times New Roman"/>
                <w:sz w:val="28"/>
                <w:szCs w:val="28"/>
              </w:rPr>
              <w:t>п</w:t>
            </w:r>
            <w:proofErr w:type="spell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43516F" w:rsidRPr="0043516F">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43516F" w:rsidRPr="0043516F">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w:t>
      </w:r>
      <w:r w:rsidR="00C94F2A">
        <w:rPr>
          <w:rFonts w:ascii="Times New Roman" w:hAnsi="Times New Roman" w:cs="Times New Roman"/>
          <w:b/>
          <w:sz w:val="28"/>
          <w:szCs w:val="28"/>
        </w:rPr>
        <w:t xml:space="preserve">муниципального </w:t>
      </w:r>
      <w:r w:rsidR="00423CE7">
        <w:rPr>
          <w:rFonts w:ascii="Times New Roman" w:hAnsi="Times New Roman" w:cs="Times New Roman"/>
          <w:b/>
          <w:sz w:val="28"/>
          <w:szCs w:val="28"/>
        </w:rPr>
        <w:t>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43516F"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43516F"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Территория </w:t>
      </w:r>
      <w:proofErr w:type="spellStart"/>
      <w:r w:rsidRPr="003C1FD6">
        <w:rPr>
          <w:rFonts w:ascii="Times New Roman" w:eastAsia="Times New Roman" w:hAnsi="Times New Roman" w:cs="Times New Roman"/>
          <w:sz w:val="28"/>
          <w:szCs w:val="28"/>
          <w:lang w:eastAsia="ru-RU"/>
        </w:rPr>
        <w:t>Сергеевского</w:t>
      </w:r>
      <w:proofErr w:type="spellEnd"/>
      <w:r w:rsidRPr="003C1FD6">
        <w:rPr>
          <w:rFonts w:ascii="Times New Roman" w:eastAsia="Times New Roman" w:hAnsi="Times New Roman" w:cs="Times New Roman"/>
          <w:sz w:val="28"/>
          <w:szCs w:val="28"/>
          <w:lang w:eastAsia="ru-RU"/>
        </w:rPr>
        <w:t xml:space="preserve"> сельского поселения расположена в западной части Дубровского </w:t>
      </w:r>
      <w:r w:rsidR="00C94F2A">
        <w:rPr>
          <w:rFonts w:ascii="Times New Roman" w:eastAsia="Times New Roman" w:hAnsi="Times New Roman" w:cs="Times New Roman"/>
          <w:sz w:val="28"/>
          <w:szCs w:val="28"/>
          <w:lang w:eastAsia="ru-RU"/>
        </w:rPr>
        <w:t xml:space="preserve">муниципального </w:t>
      </w:r>
      <w:r w:rsidRPr="003C1FD6">
        <w:rPr>
          <w:rFonts w:ascii="Times New Roman" w:eastAsia="Times New Roman" w:hAnsi="Times New Roman" w:cs="Times New Roman"/>
          <w:sz w:val="28"/>
          <w:szCs w:val="28"/>
          <w:lang w:eastAsia="ru-RU"/>
        </w:rPr>
        <w:t>района и имеет смежные границы:</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 на востоке - с </w:t>
      </w:r>
      <w:proofErr w:type="spellStart"/>
      <w:r w:rsidRPr="003C1FD6">
        <w:rPr>
          <w:rFonts w:ascii="Times New Roman" w:eastAsia="Times New Roman" w:hAnsi="Times New Roman" w:cs="Times New Roman"/>
          <w:sz w:val="28"/>
          <w:szCs w:val="28"/>
          <w:lang w:eastAsia="ru-RU"/>
        </w:rPr>
        <w:t>Сещинским</w:t>
      </w:r>
      <w:proofErr w:type="spellEnd"/>
      <w:r w:rsidRPr="003C1FD6">
        <w:rPr>
          <w:rFonts w:ascii="Times New Roman" w:eastAsia="Times New Roman" w:hAnsi="Times New Roman" w:cs="Times New Roman"/>
          <w:sz w:val="28"/>
          <w:szCs w:val="28"/>
          <w:lang w:eastAsia="ru-RU"/>
        </w:rPr>
        <w:t xml:space="preserve"> сельским поселением;</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 на юго-востоке - с </w:t>
      </w:r>
      <w:proofErr w:type="spellStart"/>
      <w:r w:rsidRPr="003C1FD6">
        <w:rPr>
          <w:rFonts w:ascii="Times New Roman" w:eastAsia="Times New Roman" w:hAnsi="Times New Roman" w:cs="Times New Roman"/>
          <w:sz w:val="28"/>
          <w:szCs w:val="28"/>
          <w:lang w:eastAsia="ru-RU"/>
        </w:rPr>
        <w:t>Алешинским</w:t>
      </w:r>
      <w:proofErr w:type="spellEnd"/>
      <w:r w:rsidRPr="003C1FD6">
        <w:rPr>
          <w:rFonts w:ascii="Times New Roman" w:eastAsia="Times New Roman" w:hAnsi="Times New Roman" w:cs="Times New Roman"/>
          <w:sz w:val="28"/>
          <w:szCs w:val="28"/>
          <w:lang w:eastAsia="ru-RU"/>
        </w:rPr>
        <w:t xml:space="preserve"> сельским поселением;</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 на юго-западе - с </w:t>
      </w:r>
      <w:proofErr w:type="spellStart"/>
      <w:r w:rsidRPr="003C1FD6">
        <w:rPr>
          <w:rFonts w:ascii="Times New Roman" w:eastAsia="Times New Roman" w:hAnsi="Times New Roman" w:cs="Times New Roman"/>
          <w:sz w:val="28"/>
          <w:szCs w:val="28"/>
          <w:lang w:eastAsia="ru-RU"/>
        </w:rPr>
        <w:t>Клетнянским</w:t>
      </w:r>
      <w:proofErr w:type="spellEnd"/>
      <w:r w:rsidRPr="003C1FD6">
        <w:rPr>
          <w:rFonts w:ascii="Times New Roman" w:eastAsia="Times New Roman" w:hAnsi="Times New Roman" w:cs="Times New Roman"/>
          <w:sz w:val="28"/>
          <w:szCs w:val="28"/>
          <w:lang w:eastAsia="ru-RU"/>
        </w:rPr>
        <w:t xml:space="preserve"> районом;</w:t>
      </w:r>
    </w:p>
    <w:p w:rsidR="003C1FD6" w:rsidRPr="003C1FD6" w:rsidRDefault="003C1FD6" w:rsidP="003C1FD6">
      <w:pPr>
        <w:tabs>
          <w:tab w:val="left" w:pos="2760"/>
        </w:tabs>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на северо-западе – со Смоленской областью.</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3C1FD6">
        <w:rPr>
          <w:rFonts w:ascii="Times New Roman" w:eastAsia="Times New Roman" w:hAnsi="Times New Roman" w:cs="Times New Roman"/>
          <w:sz w:val="28"/>
          <w:szCs w:val="28"/>
          <w:lang w:eastAsia="ru-RU"/>
        </w:rPr>
        <w:t>Сергеевского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3C1FD6"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В состав </w:t>
      </w:r>
      <w:proofErr w:type="spellStart"/>
      <w:r w:rsidRPr="003C1FD6">
        <w:rPr>
          <w:rFonts w:ascii="Times New Roman" w:eastAsia="Times New Roman" w:hAnsi="Times New Roman" w:cs="Times New Roman"/>
          <w:sz w:val="28"/>
          <w:szCs w:val="28"/>
          <w:lang w:eastAsia="ru-RU"/>
        </w:rPr>
        <w:t>Сергеевского</w:t>
      </w:r>
      <w:proofErr w:type="spellEnd"/>
      <w:r w:rsidRPr="003C1FD6">
        <w:rPr>
          <w:rFonts w:ascii="Times New Roman" w:eastAsia="Times New Roman" w:hAnsi="Times New Roman" w:cs="Times New Roman"/>
          <w:sz w:val="28"/>
          <w:szCs w:val="28"/>
          <w:lang w:eastAsia="ru-RU"/>
        </w:rPr>
        <w:t xml:space="preserve"> сельского поселения входят 14 населённых пунктов: деревня </w:t>
      </w:r>
      <w:proofErr w:type="spellStart"/>
      <w:r w:rsidRPr="003C1FD6">
        <w:rPr>
          <w:rFonts w:ascii="Times New Roman" w:eastAsia="Times New Roman" w:hAnsi="Times New Roman" w:cs="Times New Roman"/>
          <w:sz w:val="28"/>
          <w:szCs w:val="28"/>
          <w:lang w:eastAsia="ru-RU"/>
        </w:rPr>
        <w:t>Алешинка</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Афонино</w:t>
      </w:r>
      <w:proofErr w:type="spellEnd"/>
      <w:r w:rsidRPr="003C1FD6">
        <w:rPr>
          <w:rFonts w:ascii="Times New Roman" w:eastAsia="Times New Roman" w:hAnsi="Times New Roman" w:cs="Times New Roman"/>
          <w:sz w:val="28"/>
          <w:szCs w:val="28"/>
          <w:lang w:eastAsia="ru-RU"/>
        </w:rPr>
        <w:t xml:space="preserve">, село Сергеевка, деревня Быково деревня </w:t>
      </w:r>
      <w:proofErr w:type="spellStart"/>
      <w:r w:rsidRPr="003C1FD6">
        <w:rPr>
          <w:rFonts w:ascii="Times New Roman" w:eastAsia="Times New Roman" w:hAnsi="Times New Roman" w:cs="Times New Roman"/>
          <w:sz w:val="28"/>
          <w:szCs w:val="28"/>
          <w:lang w:eastAsia="ru-RU"/>
        </w:rPr>
        <w:t>Макаровка</w:t>
      </w:r>
      <w:proofErr w:type="spellEnd"/>
      <w:r w:rsidRPr="003C1FD6">
        <w:rPr>
          <w:rFonts w:ascii="Times New Roman" w:eastAsia="Times New Roman" w:hAnsi="Times New Roman" w:cs="Times New Roman"/>
          <w:sz w:val="28"/>
          <w:szCs w:val="28"/>
          <w:lang w:eastAsia="ru-RU"/>
        </w:rPr>
        <w:t xml:space="preserve">, деревня Комаровка, деревня </w:t>
      </w:r>
      <w:proofErr w:type="spellStart"/>
      <w:r w:rsidRPr="003C1FD6">
        <w:rPr>
          <w:rFonts w:ascii="Times New Roman" w:eastAsia="Times New Roman" w:hAnsi="Times New Roman" w:cs="Times New Roman"/>
          <w:sz w:val="28"/>
          <w:szCs w:val="28"/>
          <w:lang w:eastAsia="ru-RU"/>
        </w:rPr>
        <w:t>Шушерово</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Сурновка</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Деньгубовка</w:t>
      </w:r>
      <w:proofErr w:type="spellEnd"/>
      <w:r w:rsidRPr="003C1FD6">
        <w:rPr>
          <w:rFonts w:ascii="Times New Roman" w:eastAsia="Times New Roman" w:hAnsi="Times New Roman" w:cs="Times New Roman"/>
          <w:sz w:val="28"/>
          <w:szCs w:val="28"/>
          <w:lang w:eastAsia="ru-RU"/>
        </w:rPr>
        <w:t xml:space="preserve">, поселок </w:t>
      </w:r>
      <w:proofErr w:type="spellStart"/>
      <w:r w:rsidRPr="003C1FD6">
        <w:rPr>
          <w:rFonts w:ascii="Times New Roman" w:eastAsia="Times New Roman" w:hAnsi="Times New Roman" w:cs="Times New Roman"/>
          <w:sz w:val="28"/>
          <w:szCs w:val="28"/>
          <w:lang w:eastAsia="ru-RU"/>
        </w:rPr>
        <w:t>Хотен</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Будвенец</w:t>
      </w:r>
      <w:proofErr w:type="spellEnd"/>
      <w:r w:rsidRPr="003C1FD6">
        <w:rPr>
          <w:rFonts w:ascii="Times New Roman" w:eastAsia="Times New Roman" w:hAnsi="Times New Roman" w:cs="Times New Roman"/>
          <w:sz w:val="28"/>
          <w:szCs w:val="28"/>
          <w:lang w:eastAsia="ru-RU"/>
        </w:rPr>
        <w:t xml:space="preserve">, деревня </w:t>
      </w:r>
      <w:proofErr w:type="spellStart"/>
      <w:r w:rsidRPr="003C1FD6">
        <w:rPr>
          <w:rFonts w:ascii="Times New Roman" w:eastAsia="Times New Roman" w:hAnsi="Times New Roman" w:cs="Times New Roman"/>
          <w:sz w:val="28"/>
          <w:szCs w:val="28"/>
          <w:lang w:eastAsia="ru-RU"/>
        </w:rPr>
        <w:t>Барковичи</w:t>
      </w:r>
      <w:proofErr w:type="spellEnd"/>
      <w:r w:rsidRPr="003C1FD6">
        <w:rPr>
          <w:rFonts w:ascii="Times New Roman" w:eastAsia="Times New Roman" w:hAnsi="Times New Roman" w:cs="Times New Roman"/>
          <w:sz w:val="28"/>
          <w:szCs w:val="28"/>
          <w:lang w:eastAsia="ru-RU"/>
        </w:rPr>
        <w:t xml:space="preserve">, поселок </w:t>
      </w:r>
      <w:proofErr w:type="spellStart"/>
      <w:r w:rsidRPr="003C1FD6">
        <w:rPr>
          <w:rFonts w:ascii="Times New Roman" w:eastAsia="Times New Roman" w:hAnsi="Times New Roman" w:cs="Times New Roman"/>
          <w:sz w:val="28"/>
          <w:szCs w:val="28"/>
          <w:lang w:eastAsia="ru-RU"/>
        </w:rPr>
        <w:t>Ломаков</w:t>
      </w:r>
      <w:proofErr w:type="spellEnd"/>
      <w:r w:rsidRPr="003C1FD6">
        <w:rPr>
          <w:rFonts w:ascii="Times New Roman" w:eastAsia="Times New Roman" w:hAnsi="Times New Roman" w:cs="Times New Roman"/>
          <w:sz w:val="28"/>
          <w:szCs w:val="28"/>
          <w:lang w:eastAsia="ru-RU"/>
        </w:rPr>
        <w:t xml:space="preserve">, поселок </w:t>
      </w:r>
      <w:proofErr w:type="spellStart"/>
      <w:r w:rsidRPr="003C1FD6">
        <w:rPr>
          <w:rFonts w:ascii="Times New Roman" w:eastAsia="Times New Roman" w:hAnsi="Times New Roman" w:cs="Times New Roman"/>
          <w:sz w:val="28"/>
          <w:szCs w:val="28"/>
          <w:lang w:eastAsia="ru-RU"/>
        </w:rPr>
        <w:t>Лузганки</w:t>
      </w:r>
      <w:proofErr w:type="spellEnd"/>
      <w:r w:rsidR="0000402B" w:rsidRPr="004A143A">
        <w:rPr>
          <w:rFonts w:ascii="Times New Roman" w:eastAsia="Times New Roman" w:hAnsi="Times New Roman" w:cs="Times New Roman"/>
          <w:sz w:val="28"/>
          <w:szCs w:val="28"/>
          <w:lang w:eastAsia="ru-RU"/>
        </w:rPr>
        <w:t>.</w:t>
      </w:r>
    </w:p>
    <w:p w:rsidR="003C1FD6" w:rsidRPr="003C1FD6" w:rsidRDefault="003C1FD6" w:rsidP="003C1FD6">
      <w:pPr>
        <w:spacing w:after="0" w:line="288" w:lineRule="auto"/>
        <w:ind w:firstLine="709"/>
        <w:jc w:val="both"/>
        <w:rPr>
          <w:rFonts w:ascii="Times New Roman" w:eastAsia="Times New Roman" w:hAnsi="Times New Roman" w:cs="Times New Roman"/>
          <w:sz w:val="28"/>
          <w:szCs w:val="28"/>
          <w:lang w:eastAsia="ru-RU"/>
        </w:rPr>
      </w:pPr>
      <w:r w:rsidRPr="003C1FD6">
        <w:rPr>
          <w:rFonts w:ascii="Times New Roman" w:eastAsia="Times New Roman" w:hAnsi="Times New Roman" w:cs="Times New Roman"/>
          <w:sz w:val="28"/>
          <w:szCs w:val="28"/>
          <w:lang w:eastAsia="ru-RU"/>
        </w:rPr>
        <w:t xml:space="preserve">Административным центром </w:t>
      </w:r>
      <w:proofErr w:type="spellStart"/>
      <w:r w:rsidRPr="003C1FD6">
        <w:rPr>
          <w:rFonts w:ascii="Times New Roman" w:eastAsia="Times New Roman" w:hAnsi="Times New Roman" w:cs="Times New Roman"/>
          <w:sz w:val="28"/>
          <w:szCs w:val="28"/>
          <w:lang w:eastAsia="ru-RU"/>
        </w:rPr>
        <w:t>Сергеевского</w:t>
      </w:r>
      <w:proofErr w:type="spellEnd"/>
      <w:r w:rsidRPr="003C1FD6">
        <w:rPr>
          <w:rFonts w:ascii="Times New Roman" w:eastAsia="Times New Roman" w:hAnsi="Times New Roman" w:cs="Times New Roman"/>
          <w:sz w:val="28"/>
          <w:szCs w:val="28"/>
          <w:lang w:eastAsia="ru-RU"/>
        </w:rPr>
        <w:t xml:space="preserve"> сельского поселения является село Сергеевка. Село расположено в18 км в западу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электро-,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w:t>
      </w:r>
      <w:r w:rsidRPr="00CB1480">
        <w:rPr>
          <w:rFonts w:ascii="Times New Roman" w:hAnsi="Times New Roman" w:cs="Times New Roman"/>
          <w:sz w:val="28"/>
          <w:szCs w:val="28"/>
        </w:rPr>
        <w:lastRenderedPageBreak/>
        <w:t xml:space="preserve">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 xml:space="preserve">организация в границах </w:t>
      </w:r>
      <w:r w:rsidRPr="00AE2AF6">
        <w:rPr>
          <w:sz w:val="28"/>
          <w:szCs w:val="28"/>
        </w:rPr>
        <w:lastRenderedPageBreak/>
        <w:t>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3C1FD6">
        <w:rPr>
          <w:sz w:val="28"/>
          <w:szCs w:val="28"/>
        </w:rPr>
        <w:t>Сергеевского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w:t>
            </w:r>
            <w:r w:rsidRPr="00394F1F">
              <w:rPr>
                <w:rFonts w:ascii="Times New Roman" w:hAnsi="Times New Roman" w:cs="Times New Roman"/>
                <w:sz w:val="28"/>
                <w:szCs w:val="28"/>
              </w:rPr>
              <w:lastRenderedPageBreak/>
              <w:t>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w:t>
      </w:r>
      <w:r w:rsidRPr="00394F1F">
        <w:rPr>
          <w:sz w:val="28"/>
          <w:szCs w:val="28"/>
        </w:rPr>
        <w:lastRenderedPageBreak/>
        <w:t>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В соответствии с Федеральным законом «О водоснабжении и водоотведении», потребители, подключенные к централизованной системе водоснабжения, должны 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электро-,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lastRenderedPageBreak/>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w:t>
      </w:r>
      <w:r w:rsidRPr="009703C4">
        <w:rPr>
          <w:rFonts w:ascii="Times New Roman" w:hAnsi="Times New Roman" w:cs="Times New Roman"/>
          <w:sz w:val="28"/>
          <w:szCs w:val="28"/>
        </w:rPr>
        <w:lastRenderedPageBreak/>
        <w:t xml:space="preserve">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w:t>
      </w:r>
      <w:r w:rsidRPr="007D6B3D">
        <w:rPr>
          <w:rFonts w:ascii="Times New Roman" w:hAnsi="Times New Roman" w:cs="Times New Roman"/>
          <w:sz w:val="28"/>
          <w:szCs w:val="28"/>
        </w:rPr>
        <w:lastRenderedPageBreak/>
        <w:t>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lastRenderedPageBreak/>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3C1FD6">
        <w:rPr>
          <w:sz w:val="28"/>
          <w:szCs w:val="28"/>
        </w:rPr>
        <w:t>Сергеевского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 xml:space="preserve">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w:t>
      </w:r>
      <w:r w:rsidRPr="00394F1F">
        <w:rPr>
          <w:sz w:val="28"/>
          <w:szCs w:val="28"/>
        </w:rPr>
        <w:lastRenderedPageBreak/>
        <w:t>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lastRenderedPageBreak/>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w:t>
      </w:r>
      <w:r w:rsidRPr="00394F1F">
        <w:rPr>
          <w:sz w:val="28"/>
          <w:szCs w:val="28"/>
        </w:rPr>
        <w:lastRenderedPageBreak/>
        <w:t xml:space="preserve">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w:t>
      </w:r>
      <w:r w:rsidRPr="00D93117">
        <w:rPr>
          <w:rFonts w:ascii="Times New Roman" w:hAnsi="Times New Roman" w:cs="Times New Roman"/>
          <w:sz w:val="28"/>
          <w:szCs w:val="28"/>
        </w:rPr>
        <w:lastRenderedPageBreak/>
        <w:t xml:space="preserve">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w:t>
      </w:r>
      <w:r w:rsidRPr="005B2595">
        <w:rPr>
          <w:rFonts w:ascii="Times New Roman" w:hAnsi="Times New Roman" w:cs="Times New Roman"/>
          <w:sz w:val="28"/>
          <w:szCs w:val="28"/>
        </w:rPr>
        <w:lastRenderedPageBreak/>
        <w:t>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3C1FD6">
        <w:rPr>
          <w:sz w:val="28"/>
          <w:szCs w:val="28"/>
        </w:rPr>
        <w:t>Сергеевского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3C1FD6">
        <w:rPr>
          <w:sz w:val="28"/>
          <w:szCs w:val="28"/>
        </w:rPr>
        <w:t>Сергеевского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 xml:space="preserve">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w:t>
      </w:r>
      <w:r w:rsidRPr="00394F1F">
        <w:rPr>
          <w:sz w:val="28"/>
          <w:szCs w:val="28"/>
        </w:rPr>
        <w:lastRenderedPageBreak/>
        <w:t>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 xml:space="preserve">Расчетные показатели минимально допустимого уровня обеспеченности сельского поселения зонами массового кратковременного отдыха и максимально </w:t>
      </w:r>
      <w:r w:rsidRPr="00B26AFF">
        <w:rPr>
          <w:sz w:val="28"/>
          <w:szCs w:val="28"/>
        </w:rPr>
        <w:lastRenderedPageBreak/>
        <w:t>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3C1FD6">
        <w:rPr>
          <w:sz w:val="28"/>
          <w:szCs w:val="28"/>
        </w:rPr>
        <w:t>Сергеевского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w:t>
      </w:r>
      <w:r w:rsidRPr="00C41A16">
        <w:rPr>
          <w:sz w:val="28"/>
          <w:szCs w:val="28"/>
        </w:rPr>
        <w:lastRenderedPageBreak/>
        <w:t>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C41A16" w:rsidRDefault="00C41A16" w:rsidP="004D163A">
      <w:pPr>
        <w:spacing w:after="0" w:line="240" w:lineRule="auto"/>
        <w:jc w:val="both"/>
        <w:rPr>
          <w:rFonts w:ascii="Times New Roman" w:hAnsi="Times New Roman" w:cs="Times New Roman"/>
          <w:sz w:val="28"/>
          <w:szCs w:val="28"/>
        </w:rPr>
      </w:pPr>
    </w:p>
    <w:p w:rsidR="00921117" w:rsidRDefault="00921117"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3C1FD6">
        <w:rPr>
          <w:sz w:val="28"/>
          <w:szCs w:val="28"/>
        </w:rPr>
        <w:t>Сергеевского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3C1FD6">
        <w:rPr>
          <w:sz w:val="28"/>
          <w:szCs w:val="28"/>
        </w:rPr>
        <w:t>Сергеевского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Default="003C09E1" w:rsidP="00366885">
      <w:pPr>
        <w:pStyle w:val="afd"/>
        <w:spacing w:after="0"/>
        <w:ind w:right="107" w:firstLine="709"/>
        <w:jc w:val="both"/>
        <w:rPr>
          <w:sz w:val="28"/>
          <w:szCs w:val="28"/>
        </w:rPr>
      </w:pPr>
    </w:p>
    <w:p w:rsidR="00921117" w:rsidRDefault="00921117" w:rsidP="00366885">
      <w:pPr>
        <w:pStyle w:val="afd"/>
        <w:spacing w:after="0"/>
        <w:ind w:right="107" w:firstLine="709"/>
        <w:jc w:val="both"/>
        <w:rPr>
          <w:sz w:val="28"/>
          <w:szCs w:val="28"/>
        </w:rPr>
      </w:pPr>
    </w:p>
    <w:p w:rsidR="00921117" w:rsidRPr="00BC773D" w:rsidRDefault="00921117"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3C1FD6">
        <w:rPr>
          <w:sz w:val="28"/>
          <w:szCs w:val="28"/>
        </w:rPr>
        <w:t>Сергеевскому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3C1FD6">
        <w:rPr>
          <w:sz w:val="28"/>
          <w:szCs w:val="28"/>
        </w:rPr>
        <w:t>Сергеевскому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3C1FD6">
        <w:rPr>
          <w:sz w:val="28"/>
          <w:szCs w:val="28"/>
        </w:rPr>
        <w:t>Сергеевского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3C1FD6">
        <w:rPr>
          <w:sz w:val="28"/>
          <w:szCs w:val="28"/>
        </w:rPr>
        <w:t>Сергеевского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3C1FD6">
        <w:rPr>
          <w:rFonts w:ascii="Times New Roman" w:hAnsi="Times New Roman" w:cs="Times New Roman"/>
          <w:sz w:val="28"/>
          <w:szCs w:val="28"/>
        </w:rPr>
        <w:t>Сергеевского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r w:rsidR="00C94F2A">
              <w:rPr>
                <w:sz w:val="28"/>
                <w:szCs w:val="28"/>
                <w:lang w:val="ru-RU"/>
              </w:rPr>
              <w:t>, Дубровский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w:t>
            </w:r>
            <w:r w:rsidR="00C94F2A">
              <w:rPr>
                <w:sz w:val="28"/>
                <w:szCs w:val="28"/>
                <w:lang w:val="ru-RU"/>
              </w:rPr>
              <w:t xml:space="preserve">муниципальный </w:t>
            </w:r>
            <w:r w:rsidR="00533498" w:rsidRPr="00394F1F">
              <w:rPr>
                <w:sz w:val="28"/>
                <w:szCs w:val="28"/>
                <w:lang w:val="ru-RU"/>
              </w:rPr>
              <w:t>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3C1FD6" w:rsidP="004D163A">
            <w:pPr>
              <w:pStyle w:val="TableParagraph"/>
              <w:ind w:right="87"/>
              <w:rPr>
                <w:sz w:val="28"/>
                <w:szCs w:val="28"/>
                <w:lang w:val="ru-RU"/>
              </w:rPr>
            </w:pPr>
            <w:proofErr w:type="spellStart"/>
            <w:r>
              <w:rPr>
                <w:sz w:val="28"/>
                <w:szCs w:val="28"/>
                <w:lang w:val="ru-RU"/>
              </w:rPr>
              <w:t>Сергеевское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МНГП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3C1FD6">
              <w:rPr>
                <w:sz w:val="28"/>
                <w:szCs w:val="28"/>
                <w:lang w:val="ru-RU"/>
              </w:rPr>
              <w:t>Сергеевского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w:t>
            </w:r>
            <w:r w:rsidR="00C94F2A">
              <w:rPr>
                <w:sz w:val="28"/>
                <w:szCs w:val="28"/>
                <w:lang w:val="ru-RU"/>
              </w:rPr>
              <w:t xml:space="preserve">муниципального </w:t>
            </w:r>
            <w:r w:rsidR="00423CE7">
              <w:rPr>
                <w:sz w:val="28"/>
                <w:szCs w:val="28"/>
                <w:lang w:val="ru-RU"/>
              </w:rPr>
              <w:t>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3C1FD6">
        <w:rPr>
          <w:sz w:val="28"/>
          <w:szCs w:val="28"/>
        </w:rPr>
        <w:t>Сергеевского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w:t>
      </w:r>
      <w:r w:rsidR="00692151">
        <w:rPr>
          <w:sz w:val="28"/>
          <w:szCs w:val="28"/>
        </w:rPr>
        <w:t xml:space="preserve">муниципального </w:t>
      </w:r>
      <w:r w:rsidR="00423CE7">
        <w:rPr>
          <w:sz w:val="28"/>
          <w:szCs w:val="28"/>
        </w:rPr>
        <w:t>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B14" w:rsidRDefault="006A2B14" w:rsidP="0027659D">
      <w:pPr>
        <w:spacing w:after="0" w:line="240" w:lineRule="auto"/>
      </w:pPr>
      <w:r>
        <w:separator/>
      </w:r>
    </w:p>
  </w:endnote>
  <w:endnote w:type="continuationSeparator" w:id="0">
    <w:p w:rsidR="006A2B14" w:rsidRDefault="006A2B14"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43516F">
    <w:pPr>
      <w:pStyle w:val="a9"/>
      <w:jc w:val="center"/>
    </w:pPr>
    <w:fldSimple w:instr=" PAGE   \* MERGEFORMAT ">
      <w:r w:rsidR="00953590">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43516F">
    <w:pPr>
      <w:pStyle w:val="a9"/>
      <w:jc w:val="center"/>
    </w:pPr>
    <w:fldSimple w:instr=" PAGE   \* MERGEFORMAT ">
      <w:r w:rsidR="009A1FF6">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43516F"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953590">
      <w:rPr>
        <w:rFonts w:ascii="Times New Roman" w:hAnsi="Times New Roman" w:cs="Times New Roman"/>
        <w:noProof/>
      </w:rPr>
      <w:t>158</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B14" w:rsidRDefault="006A2B14" w:rsidP="0027659D">
      <w:pPr>
        <w:spacing w:after="0" w:line="240" w:lineRule="auto"/>
      </w:pPr>
      <w:r>
        <w:separator/>
      </w:r>
    </w:p>
  </w:footnote>
  <w:footnote w:type="continuationSeparator" w:id="0">
    <w:p w:rsidR="006A2B14" w:rsidRDefault="006A2B14"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3C1FD6">
      <w:rPr>
        <w:rFonts w:ascii="Times New Roman" w:hAnsi="Times New Roman" w:cs="Times New Roman"/>
        <w:i/>
        <w:sz w:val="20"/>
      </w:rPr>
      <w:t>Сергеевского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w:t>
    </w:r>
    <w:r w:rsidR="009A1FF6">
      <w:rPr>
        <w:rFonts w:ascii="Times New Roman" w:hAnsi="Times New Roman" w:cs="Times New Roman"/>
        <w:i/>
        <w:sz w:val="20"/>
      </w:rPr>
      <w:t xml:space="preserve">муниципального </w:t>
    </w:r>
    <w:r>
      <w:rPr>
        <w:rFonts w:ascii="Times New Roman" w:hAnsi="Times New Roman" w:cs="Times New Roman"/>
        <w:i/>
        <w:sz w:val="20"/>
      </w:rPr>
      <w:t>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528386"/>
  </w:hdrShapeDefaults>
  <w:footnotePr>
    <w:footnote w:id="-1"/>
    <w:footnote w:id="0"/>
  </w:footnotePr>
  <w:endnotePr>
    <w:endnote w:id="-1"/>
    <w:endnote w:id="0"/>
  </w:endnotePr>
  <w:compat/>
  <w:rsids>
    <w:rsidRoot w:val="00C70157"/>
    <w:rsid w:val="00000F11"/>
    <w:rsid w:val="00001FEB"/>
    <w:rsid w:val="00002D30"/>
    <w:rsid w:val="000031C0"/>
    <w:rsid w:val="0000402B"/>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2C31"/>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6C0F"/>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1FD6"/>
    <w:rsid w:val="003C2D66"/>
    <w:rsid w:val="003C421D"/>
    <w:rsid w:val="003C4E6E"/>
    <w:rsid w:val="003C5A63"/>
    <w:rsid w:val="003C5B66"/>
    <w:rsid w:val="003C7804"/>
    <w:rsid w:val="003D0177"/>
    <w:rsid w:val="003D043C"/>
    <w:rsid w:val="003D0D81"/>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16F"/>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DF"/>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9DB"/>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151"/>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2B14"/>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590"/>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1FF6"/>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1C1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2A"/>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4A10"/>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18"/>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8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092508541">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0D452-F66D-43F0-9B07-487821005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44908</Words>
  <Characters>255982</Characters>
  <Application>Microsoft Office Word</Application>
  <DocSecurity>0</DocSecurity>
  <Lines>2133</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Microsoft</Company>
  <LinksUpToDate>false</LinksUpToDate>
  <CharactersWithSpaces>300290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4</cp:revision>
  <cp:lastPrinted>2017-09-15T13:32:00Z</cp:lastPrinted>
  <dcterms:created xsi:type="dcterms:W3CDTF">2020-07-08T11:31:00Z</dcterms:created>
  <dcterms:modified xsi:type="dcterms:W3CDTF">2020-07-08T11:31:00Z</dcterms:modified>
</cp:coreProperties>
</file>