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5" w:rsidRPr="00AF3975" w:rsidRDefault="00AF3975" w:rsidP="00AF3975">
      <w:pPr>
        <w:spacing w:before="100" w:beforeAutospacing="1"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AF39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Часто задаваемые вопросы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b/>
          <w:bCs/>
          <w:sz w:val="20"/>
          <w:lang w:eastAsia="ru-RU"/>
        </w:rPr>
        <w:t>1. Что такое коррупция? Какие действия можно отнести к коррупционным правонарушениям?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sz w:val="20"/>
          <w:szCs w:val="20"/>
          <w:lang w:eastAsia="ru-RU"/>
        </w:rPr>
        <w:t>Понятие коррупции раскрывается в части 1 ст. 1 Федерального закона «О противодействии коррупции» от </w:t>
      </w:r>
      <w:r w:rsidRPr="00AF3975">
        <w:rPr>
          <w:rFonts w:ascii="Arial" w:eastAsia="Times New Roman" w:hAnsi="Arial" w:cs="Arial"/>
          <w:sz w:val="20"/>
          <w:lang w:eastAsia="ru-RU"/>
        </w:rPr>
        <w:t>25.12.2008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№ </w:t>
      </w:r>
      <w:r w:rsidRPr="00AF3975">
        <w:rPr>
          <w:rFonts w:ascii="Arial" w:eastAsia="Times New Roman" w:hAnsi="Arial" w:cs="Arial"/>
          <w:sz w:val="20"/>
          <w:lang w:eastAsia="ru-RU"/>
        </w:rPr>
        <w:t>273-ФЗ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Так установлено, что коррупция — это: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указанному лицу другими физическими лицами;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б) совершение деяний, указанных в подпункте «а» настоящего пункта, от имени или в интересах юридического лица.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Исходя из трактовки федерального закона, к коррупционным деяниям можно относить не только вымогательство или получение взятки должностным лицом, но его непосредственное злоупотребление своими должностными полномочиями, их использование в личных интересах, а также интересах близких или доверительных лиц.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К правонарушениям, обладающим коррупционными признаками, относятся следующие умышленные деяния: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14) злоупотребление должностными полномочиями (ст. 285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15) превышение должностных полномочий (ст. 286 УК РФ)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16) незаконное участие в предпринимательской деятельности (ст. 289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17) получение взятки (ст. 290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18) дача взятки (ст. 291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19) провокация взятки (ст. 304);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20) служебный подлог и внесение заведомо ложных сведений (ст. 292 УК РФ и ст. 285.3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21) присвоение или растрата (ст. 160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22) мошенничество с использованием своих служебных полномочий (ст. 159 УК РФ)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23) воспрепятствование законной предпринимательской деятельности (ст. 169 УК РФ);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24) неправомерное присвоение или иное нецелевое использование бюджетных средств (ст. 285.1 УК РФ и ст. 285.2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25) регистрация незаконных сделок с землей (ст. 170 УК РФ);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26) халатность (ст. 293 УК РФ).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Необходимо помнить, что преступления против интересов службы в коммерческих или иных организациях (глава 23 УК РФ), не могут быть отнесены к числу коррупционных, поскольку они непосредственно не причиняют вреда интересам государственной службы или службы в органах местного самоуправления.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В целом, к коррупционным правонарушениям относятся деяния, выражающиеся в незаконном получении преимуществ лицами, уполномоченными на выполнение государственных функций и 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 предоставлении данным лицам таких преимуществ, а также совокупность самих этих лиц.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 </w:t>
      </w:r>
      <w:proofErr w:type="spell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коррупциогенным</w:t>
      </w:r>
      <w:proofErr w:type="spell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правонарушениям (</w:t>
      </w:r>
      <w:r w:rsidRPr="00AF3975">
        <w:rPr>
          <w:rFonts w:ascii="Arial" w:eastAsia="Times New Roman" w:hAnsi="Arial" w:cs="Arial"/>
          <w:sz w:val="20"/>
          <w:lang w:eastAsia="ru-RU"/>
        </w:rPr>
        <w:t>т. е.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нарушениям, которые могут привести к коррупционным преступлениям) могут относиться все нарушения законодательства в сфере прохождения государственной и муниципальной службы, соблюдения всех ограничений и запретов, наложенных на должностных лиц государственных органов и органов местного самоуправления.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b/>
          <w:bCs/>
          <w:sz w:val="20"/>
          <w:lang w:eastAsia="ru-RU"/>
        </w:rPr>
        <w:t>2. Что такое «противодействие коррупции»?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Противодействие коррупции —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 пределах их полномочий: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а) по предупреждению коррупции, в том числе по выявлению и последующему устранению причин коррупции (профилактика коррупции);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б) по выявлению, предупреждению, пресечению, раскрытию и расследованию коррупционных правонарушений (борьба с коррупцией);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в) по минимизации и (или) ликвидации последствий коррупционных правонарушений.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3. Что является предметом взятки?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Предметом взятки или коммерческого подкупа наряду с деньгами, ценными бумагами и иным имуществом могут быть выгоды или услуги имущественного характера, оказываемые безвозмездно, но подлежащие оплате (предоставление туристических путевок, ремонт квартиры, строительство дачи </w:t>
      </w:r>
      <w:r w:rsidRPr="00AF3975">
        <w:rPr>
          <w:rFonts w:ascii="Arial" w:eastAsia="Times New Roman" w:hAnsi="Arial" w:cs="Arial"/>
          <w:sz w:val="20"/>
          <w:lang w:eastAsia="ru-RU"/>
        </w:rPr>
        <w:t>и т. п.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>). Под выгодами имущественного характера следует понимать, в частности, занижение стоимости передаваемого имущества, приватизируемых объектов, уменьшение арендных платежей, процентных ставок за пользование банковскими ссудами. (Постановление Пленума Верховного Суда РФ от </w:t>
      </w:r>
      <w:r w:rsidRPr="00AF3975">
        <w:rPr>
          <w:rFonts w:ascii="Arial" w:eastAsia="Times New Roman" w:hAnsi="Arial" w:cs="Arial"/>
          <w:sz w:val="20"/>
          <w:lang w:eastAsia="ru-RU"/>
        </w:rPr>
        <w:t>10.02.2000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№ 6 (ред. от </w:t>
      </w:r>
      <w:r w:rsidRPr="00AF3975">
        <w:rPr>
          <w:rFonts w:ascii="Arial" w:eastAsia="Times New Roman" w:hAnsi="Arial" w:cs="Arial"/>
          <w:sz w:val="20"/>
          <w:lang w:eastAsia="ru-RU"/>
        </w:rPr>
        <w:t>06.02.2007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>) «О судебной практике по делам о взяточничестве и коммерческом подкупе».)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b/>
          <w:bCs/>
          <w:sz w:val="20"/>
          <w:lang w:eastAsia="ru-RU"/>
        </w:rPr>
        <w:t>4. Какие действия можно считать вымогательством взятки?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Вымогательство означает требование должностного лица или лица, выполняющего управленческие функции в коммерческой или иной организации, дать взятку либо передать незаконное вознаграждение в 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 такие условия, при которых он вынужден дать взятку либо совершить коммерческий подкуп с целью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предотвращения вредных последствий для его </w:t>
      </w:r>
      <w:proofErr w:type="spell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правоохраняемых</w:t>
      </w:r>
      <w:proofErr w:type="spell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интересов. (Постановление Пленума Верховного Суда РФ от </w:t>
      </w:r>
      <w:r w:rsidRPr="00AF3975">
        <w:rPr>
          <w:rFonts w:ascii="Arial" w:eastAsia="Times New Roman" w:hAnsi="Arial" w:cs="Arial"/>
          <w:sz w:val="20"/>
          <w:lang w:eastAsia="ru-RU"/>
        </w:rPr>
        <w:t>10.02.2000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№ 6 (ред. от </w:t>
      </w:r>
      <w:r w:rsidRPr="00AF3975">
        <w:rPr>
          <w:rFonts w:ascii="Arial" w:eastAsia="Times New Roman" w:hAnsi="Arial" w:cs="Arial"/>
          <w:sz w:val="20"/>
          <w:lang w:eastAsia="ru-RU"/>
        </w:rPr>
        <w:t>06.02.2007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>) «О судебной практике по делам о взяточничестве и коммерческом подкупе».)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5. Предусмотрена ли ответственность за ложное сообщение о факте коррупции должностного лица?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Лицо, сообщившее заведомо ложные сведения, порочащие честь и достоинство другого лица или подрывающие его репутацию может быть привлечено к уголовной ответственности по статье 129 «Клевета» Уголовного кодекса РФ.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6. Каким образом рассматриваются обращения граждан, содержащие информацию о фактах совершения коррупционных правонарушений, если такие обращения поступают?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Деятельность в сфере рассмотрения обращений граждан регламентируется Федеральным законом от 02 мая 2006 года № </w:t>
      </w:r>
      <w:r w:rsidRPr="00AF3975">
        <w:rPr>
          <w:rFonts w:ascii="Arial" w:eastAsia="Times New Roman" w:hAnsi="Arial" w:cs="Arial"/>
          <w:sz w:val="20"/>
          <w:lang w:eastAsia="ru-RU"/>
        </w:rPr>
        <w:t>59-ФЗ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«О порядке рассмотрения обращений граждан Российской Федерации».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Граждане имеют право свободно и добровольно обращаться лично, а также направлять индивидуальные и коллективные обращения в органы государственной власти Брянской области и должностным лицам. Все направленные в установленном порядке обращения граждан рассматриваются бесплатно.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Все поступившие обращения подлежат обязательной регистрации в течение трех дней с момента их поступления. В случае</w:t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если решение вопроса требует ответа государственных органов или органов местного самоуправления иной компетенции, а также подлежит тщательной проверке и сбору дополнительной информации, копия обращения в течение семи дней со дня регистрации направляется в соответствующие государственные органы, органы местного самоуправления или соответствующим должностным лицам. По направленному запросу данные органы обязаны в течение 15 дней </w:t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предоставить документы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и материалы, необходимые для рассмотрения обращения.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В случае необходимости, рассмотрение обращения может быть связано с выездом на место (с целью сбора дополнительной информации или проведение дополнительной проверке по собранным фактам).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В целом, вся процедура рассмотрения обращений граждан должна проходить в течение 30 дней со дня их регистрации. В тех случаях, когда необходимо проведение дополнительного изучения или проверки, срок рассмотрения может быть продлен не более чем на тридцать календарных дней, о чем сообщается заявителю в течение трех календарных дней с момента продления срока рассмотрения. Срок рассмотрения по обращению продлевается руководителем государственного органа, проводящим проверку, или его заместителем. Если решение вопросов, изложенных в обращении, требует длительного срока, то обращение ставится на дополнительный контроль вплоть до окончательного его исполнения, о чем сообщается заявителю в течение трех календарных дней.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По материалам проведенной проверки составляется письменный ответ, который направляется заявителю по почтовому адресу (или в форме электронного документа по адресу электронной почты, указанному в обращении).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В случаи выявления в действия должностных лиц государственных органов и органов местного самоуправления коррупционной составляющей: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— материалы, собранные в ходе проверки, подтверждающие указанный факт, направляются для рассмотрения в правоохранительные органы;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— по информации, подтверждающей возможность конфликта личных интересов и интересов государственной службы, собирается комиссия по соблюдению требований к служебному поведению и урегулированию конфликта интересов.</w:t>
      </w:r>
      <w:proofErr w:type="gramEnd"/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b/>
          <w:bCs/>
          <w:sz w:val="20"/>
          <w:lang w:eastAsia="ru-RU"/>
        </w:rPr>
        <w:t>7. Может ли посредник во взяточничестве быть привлечён к уголовной ответственности?</w:t>
      </w:r>
    </w:p>
    <w:p w:rsidR="00AF3975" w:rsidRPr="00AF3975" w:rsidRDefault="00AF3975" w:rsidP="00AF3975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3975">
        <w:rPr>
          <w:rFonts w:ascii="Arial" w:eastAsia="Times New Roman" w:hAnsi="Arial" w:cs="Arial"/>
          <w:sz w:val="20"/>
          <w:szCs w:val="20"/>
          <w:lang w:eastAsia="ru-RU"/>
        </w:rPr>
        <w:t>Да, может.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Взятка может быть получена и дана через посредника (третье лицо). Посредником во 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 личной инициативы. Уголовная ответственность посредника во взяточничестве (соучастника деяния) в зависимости от конкретных обстоятельств по делу и его роли в даче или получении взятки наступает лишь в случаях, предусмотренных ст. 33 Уголовного кодекса РФ.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Если же третье лицо (посредник) получает от </w:t>
      </w:r>
      <w:r w:rsidRPr="00AF3975">
        <w:rPr>
          <w:rFonts w:ascii="Arial" w:eastAsia="Times New Roman" w:hAnsi="Arial" w:cs="Arial"/>
          <w:sz w:val="20"/>
          <w:lang w:eastAsia="ru-RU"/>
        </w:rPr>
        <w:t>кого-либо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деньги или иные ценности якобы для передачи их должностному лицу в качестве взятки, но заведомо решает присвоить их, то содеянное им деяние квалифицируется как мошенничество. Действия владельца ценностей (взяткодателя) в таком случаи относятся к категории «покушение на дачу взятки».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8. Возвращаются ли взяткодателю денежные средства и иные ценности, ставшие предметом взятки?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Изъятые деньги и другие ценности, являющиеся предметом взятки или коммерческого подкупа и признанные вещественными доказательствами, подлежат обращению в доход государства на основании пункта 4 части третьей статьи 81 УПК РФ как нажитые преступным путем.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Освобождение взяткодателя либо лица, совершившего коммерческий подкуп, от уголовной ответственности по мотивам добровольного сообщения о совершении преступления не означает отсутствия в действиях этих лиц состава преступления. Поэтому они не могут признаваться потерпевшими и не вправе претендовать на возвращение им ценностей, переданных в виде взятки или предмета коммерческого подкупа.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AF3975">
        <w:rPr>
          <w:rFonts w:ascii="Arial" w:eastAsia="Times New Roman" w:hAnsi="Arial" w:cs="Arial"/>
          <w:sz w:val="20"/>
          <w:szCs w:val="20"/>
          <w:lang w:eastAsia="ru-RU"/>
        </w:rPr>
        <w:t>Не могут быть обращены в доход государства деньги и другие ценности в случаях, когда в отношении лица были заявлены требования о даче взятки или о незаконной передаче денег, ценных бумаг, иного имущества в виде коммерческого подкупа, если до передачи этих ценностей лицо добровольно заявило об этом органу, имеющему право возбуждать уголовное дело, и передача денег, ценных бумаг, иного имущества проходила</w:t>
      </w:r>
      <w:proofErr w:type="gramEnd"/>
      <w:r w:rsidRPr="00AF3975">
        <w:rPr>
          <w:rFonts w:ascii="Arial" w:eastAsia="Times New Roman" w:hAnsi="Arial" w:cs="Arial"/>
          <w:sz w:val="20"/>
          <w:szCs w:val="20"/>
          <w:lang w:eastAsia="ru-RU"/>
        </w:rPr>
        <w:t xml:space="preserve"> под их контролем с целью задержания с поличным лица, заявившего такие требования. В этих случаях деньги и другие ценности, явившиеся предметом взятки или коммерческого подкупа, подлежат возвращению их владельцу.</w:t>
      </w:r>
      <w:r w:rsidRPr="00AF3975">
        <w:rPr>
          <w:rFonts w:ascii="Arial" w:eastAsia="Times New Roman" w:hAnsi="Arial" w:cs="Arial"/>
          <w:sz w:val="20"/>
          <w:szCs w:val="20"/>
          <w:lang w:eastAsia="ru-RU"/>
        </w:rPr>
        <w:br/>
        <w:t>Если для предотвращения вредных последствий лицо было вынуждено передать вымогателю деньги, другие ценности, то они подлежат возврату их владельцу.</w:t>
      </w:r>
    </w:p>
    <w:p w:rsidR="00F27B15" w:rsidRDefault="00F27B15"/>
    <w:sectPr w:rsidR="00F27B15" w:rsidSect="00F2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75"/>
    <w:rsid w:val="00AF3975"/>
    <w:rsid w:val="00F2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5"/>
  </w:style>
  <w:style w:type="paragraph" w:styleId="1">
    <w:name w:val="heading 1"/>
    <w:basedOn w:val="a"/>
    <w:link w:val="10"/>
    <w:uiPriority w:val="9"/>
    <w:qFormat/>
    <w:rsid w:val="00AF3975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7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3975"/>
    <w:rPr>
      <w:b/>
      <w:bCs/>
    </w:rPr>
  </w:style>
  <w:style w:type="paragraph" w:styleId="a4">
    <w:name w:val="Normal (Web)"/>
    <w:basedOn w:val="a"/>
    <w:uiPriority w:val="99"/>
    <w:semiHidden/>
    <w:unhideWhenUsed/>
    <w:rsid w:val="00AF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rsid w:val="00AF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2017-06-05T08:05:00Z</dcterms:created>
  <dcterms:modified xsi:type="dcterms:W3CDTF">2017-06-05T08:06:00Z</dcterms:modified>
</cp:coreProperties>
</file>